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FA21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</w:t>
      </w:r>
      <w:r w:rsidRPr="001C2F2E">
        <w:rPr>
          <w:rFonts w:ascii="Calibri" w:hAnsi="Calibri"/>
          <w:b/>
        </w:rPr>
        <w:tab/>
        <w:t>Standard</w:t>
      </w:r>
      <w:r>
        <w:rPr>
          <w:rFonts w:ascii="Calibri" w:hAnsi="Calibri"/>
          <w:b/>
        </w:rPr>
        <w:t>s</w:t>
      </w:r>
      <w:r w:rsidRPr="001C2F2E">
        <w:rPr>
          <w:rFonts w:ascii="Calibri" w:hAnsi="Calibri"/>
          <w:b/>
        </w:rPr>
        <w:t xml:space="preserve"> for</w:t>
      </w:r>
      <w:r>
        <w:rPr>
          <w:rFonts w:ascii="Calibri" w:hAnsi="Calibri"/>
          <w:b/>
        </w:rPr>
        <w:t xml:space="preserve"> New</w:t>
      </w:r>
      <w:r w:rsidRPr="001C2F2E">
        <w:rPr>
          <w:rFonts w:ascii="Calibri" w:hAnsi="Calibri"/>
          <w:b/>
        </w:rPr>
        <w:t xml:space="preserve"> Solid Waste </w:t>
      </w:r>
      <w:r>
        <w:rPr>
          <w:rFonts w:ascii="Calibri" w:hAnsi="Calibri"/>
          <w:b/>
        </w:rPr>
        <w:t xml:space="preserve">and </w:t>
      </w:r>
      <w:r w:rsidRPr="001C2F2E">
        <w:rPr>
          <w:rFonts w:ascii="Calibri" w:hAnsi="Calibri"/>
          <w:b/>
        </w:rPr>
        <w:t>Recycling Collection Areas for Multi-Family, Commercial, Industrial</w:t>
      </w:r>
      <w:r>
        <w:rPr>
          <w:rFonts w:ascii="Calibri" w:hAnsi="Calibri"/>
          <w:b/>
        </w:rPr>
        <w:t>, and Institutional</w:t>
      </w:r>
      <w:r w:rsidRPr="001C2F2E">
        <w:rPr>
          <w:rFonts w:ascii="Calibri" w:hAnsi="Calibri"/>
          <w:b/>
        </w:rPr>
        <w:t xml:space="preserve"> Developments</w:t>
      </w:r>
    </w:p>
    <w:p w14:paraId="5C9FA984" w14:textId="77777777" w:rsidR="001C2F2E" w:rsidRPr="001C2F2E" w:rsidRDefault="001C2F2E" w:rsidP="007F461B">
      <w:pPr>
        <w:rPr>
          <w:rFonts w:ascii="Calibri" w:hAnsi="Calibri"/>
          <w:b/>
        </w:rPr>
      </w:pPr>
    </w:p>
    <w:p w14:paraId="74370B83" w14:textId="77777777" w:rsidR="001C2F2E" w:rsidRPr="001C2F2E" w:rsidRDefault="001C2F2E" w:rsidP="007F461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7.0212(A) – Recycling and Solid Waste Collection Areas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7BBAD16F" w14:textId="77777777" w:rsidTr="00DF6E93">
        <w:trPr>
          <w:tblHeader/>
        </w:trPr>
        <w:tc>
          <w:tcPr>
            <w:tcW w:w="3240" w:type="dxa"/>
            <w:vAlign w:val="center"/>
          </w:tcPr>
          <w:p w14:paraId="7EC18344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60D5D07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05AA924A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14924C4F" w14:textId="77777777" w:rsidTr="00DF6E93">
        <w:tc>
          <w:tcPr>
            <w:tcW w:w="3240" w:type="dxa"/>
          </w:tcPr>
          <w:p w14:paraId="49018423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7.0212(A)(1) – Unobstructed and Safe Access</w:t>
            </w:r>
          </w:p>
        </w:tc>
        <w:tc>
          <w:tcPr>
            <w:tcW w:w="720" w:type="dxa"/>
            <w:vAlign w:val="center"/>
          </w:tcPr>
          <w:p w14:paraId="5A37137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0DF1E95D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  <w:tr w:rsidR="001C2F2E" w:rsidRPr="001C2F2E" w14:paraId="1EA1B07A" w14:textId="77777777" w:rsidTr="00DF6E93">
        <w:tc>
          <w:tcPr>
            <w:tcW w:w="3240" w:type="dxa"/>
          </w:tcPr>
          <w:p w14:paraId="4B863D07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7.0212(A)(2) – Sizing of Collection Area (See Matrix Guidelines)</w:t>
            </w:r>
          </w:p>
        </w:tc>
        <w:tc>
          <w:tcPr>
            <w:tcW w:w="720" w:type="dxa"/>
            <w:vAlign w:val="center"/>
          </w:tcPr>
          <w:p w14:paraId="77E01692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ACEE7DB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3B743696" w14:textId="77777777" w:rsidTr="00DF6E93">
        <w:tc>
          <w:tcPr>
            <w:tcW w:w="3240" w:type="dxa"/>
          </w:tcPr>
          <w:p w14:paraId="3BFBEBCC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7.0212(A)(3) – Number of Collection Areas</w:t>
            </w:r>
          </w:p>
        </w:tc>
        <w:tc>
          <w:tcPr>
            <w:tcW w:w="720" w:type="dxa"/>
            <w:vAlign w:val="center"/>
          </w:tcPr>
          <w:p w14:paraId="4A91C2C8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4EA4C0B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156438F6" w14:textId="77777777" w:rsidTr="00DF6E93">
        <w:tc>
          <w:tcPr>
            <w:tcW w:w="3240" w:type="dxa"/>
          </w:tcPr>
          <w:p w14:paraId="745EE43E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7.0212(A)(4) – Proximity of Separated Solid Waste and Recycling Collection Areas</w:t>
            </w:r>
          </w:p>
        </w:tc>
        <w:tc>
          <w:tcPr>
            <w:tcW w:w="720" w:type="dxa"/>
            <w:vAlign w:val="center"/>
          </w:tcPr>
          <w:p w14:paraId="776710D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7FECF51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71ECA904" w14:textId="77777777" w:rsidTr="00DF6E93">
        <w:tc>
          <w:tcPr>
            <w:tcW w:w="3240" w:type="dxa"/>
          </w:tcPr>
          <w:p w14:paraId="40E9E360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7.0212(A)(5) – Location of Collection Areas</w:t>
            </w:r>
          </w:p>
        </w:tc>
        <w:tc>
          <w:tcPr>
            <w:tcW w:w="720" w:type="dxa"/>
            <w:vAlign w:val="center"/>
          </w:tcPr>
          <w:p w14:paraId="67C4A19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77A47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A1559D4" w14:textId="77777777" w:rsidTr="00DF6E93">
        <w:tc>
          <w:tcPr>
            <w:tcW w:w="3240" w:type="dxa"/>
          </w:tcPr>
          <w:p w14:paraId="1F1CE52F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7.0212(A)(6) – Compliance with Gresham Revised Code 7.25</w:t>
            </w:r>
          </w:p>
        </w:tc>
        <w:tc>
          <w:tcPr>
            <w:tcW w:w="720" w:type="dxa"/>
            <w:vAlign w:val="center"/>
          </w:tcPr>
          <w:p w14:paraId="3290F0C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70C3D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3764FB0" w14:textId="77777777" w:rsidTr="00DF6E93">
        <w:tc>
          <w:tcPr>
            <w:tcW w:w="3240" w:type="dxa"/>
          </w:tcPr>
          <w:p w14:paraId="502414AC" w14:textId="77777777" w:rsidR="001C2F2E" w:rsidRPr="006E7829" w:rsidRDefault="001C2F2E" w:rsidP="006E7829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7.0212(A)(7) – Collection Area Screening</w:t>
            </w:r>
          </w:p>
        </w:tc>
        <w:tc>
          <w:tcPr>
            <w:tcW w:w="720" w:type="dxa"/>
            <w:vAlign w:val="center"/>
          </w:tcPr>
          <w:p w14:paraId="1339F197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30F5DEEF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72759FB0" w14:textId="77777777" w:rsidTr="00DF6E93">
        <w:tc>
          <w:tcPr>
            <w:tcW w:w="3240" w:type="dxa"/>
          </w:tcPr>
          <w:p w14:paraId="4CDBFD1C" w14:textId="77777777" w:rsidR="006310CB" w:rsidRPr="006E7829" w:rsidRDefault="006310CB" w:rsidP="006310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7.0212(A)(7)(a) – Wood/Chain Link Enclosure Damage Prevention Measures</w:t>
            </w:r>
          </w:p>
        </w:tc>
        <w:tc>
          <w:tcPr>
            <w:tcW w:w="720" w:type="dxa"/>
            <w:vAlign w:val="center"/>
          </w:tcPr>
          <w:p w14:paraId="2E8A03C6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FBF8C48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8C44E44" w14:textId="77777777" w:rsidTr="00DF6E93">
        <w:tc>
          <w:tcPr>
            <w:tcW w:w="3240" w:type="dxa"/>
          </w:tcPr>
          <w:p w14:paraId="257C14C1" w14:textId="77777777" w:rsidR="006310CB" w:rsidRDefault="006310CB" w:rsidP="006310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7.0212(A)(7)(b) – Masonry Enclosure Damage Prevention Measures</w:t>
            </w:r>
          </w:p>
        </w:tc>
        <w:tc>
          <w:tcPr>
            <w:tcW w:w="720" w:type="dxa"/>
            <w:vAlign w:val="center"/>
          </w:tcPr>
          <w:p w14:paraId="243506A8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214D2D01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414A3A6D" w14:textId="77777777" w:rsidTr="00DF6E93">
        <w:tc>
          <w:tcPr>
            <w:tcW w:w="3240" w:type="dxa"/>
          </w:tcPr>
          <w:p w14:paraId="0DFB4473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7.0212(A)(8) – Enclosure Gate Opening</w:t>
            </w:r>
          </w:p>
        </w:tc>
        <w:tc>
          <w:tcPr>
            <w:tcW w:w="720" w:type="dxa"/>
            <w:vAlign w:val="center"/>
          </w:tcPr>
          <w:p w14:paraId="7B7D96A9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1C09DC04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34255E62" w14:textId="77777777" w:rsidTr="00DF6E93">
        <w:tc>
          <w:tcPr>
            <w:tcW w:w="3240" w:type="dxa"/>
          </w:tcPr>
          <w:p w14:paraId="57B0518C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7.0212(A)(9) – “No Parking” Signage</w:t>
            </w:r>
          </w:p>
        </w:tc>
        <w:tc>
          <w:tcPr>
            <w:tcW w:w="720" w:type="dxa"/>
            <w:vAlign w:val="center"/>
          </w:tcPr>
          <w:p w14:paraId="22353B8E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F3A8C4D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50DA644" w14:textId="77777777" w:rsidTr="00DF6E93">
        <w:tc>
          <w:tcPr>
            <w:tcW w:w="3240" w:type="dxa"/>
          </w:tcPr>
          <w:p w14:paraId="18A2AB8C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7.0212(A)(10) – Fire and Structural Specialty Code Compliance for Collection Area Location</w:t>
            </w:r>
          </w:p>
        </w:tc>
        <w:tc>
          <w:tcPr>
            <w:tcW w:w="720" w:type="dxa"/>
            <w:vAlign w:val="center"/>
          </w:tcPr>
          <w:p w14:paraId="339BDA73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D183747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25BD50AD" w14:textId="77777777" w:rsidTr="00DF6E93">
        <w:tc>
          <w:tcPr>
            <w:tcW w:w="3240" w:type="dxa"/>
          </w:tcPr>
          <w:p w14:paraId="17B041C4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7.0212(A)(11) – Enclosure Surface Material and Design</w:t>
            </w:r>
          </w:p>
        </w:tc>
        <w:tc>
          <w:tcPr>
            <w:tcW w:w="720" w:type="dxa"/>
            <w:vAlign w:val="center"/>
          </w:tcPr>
          <w:p w14:paraId="5FD7C57B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3BFF23F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1CA2BCEE" w14:textId="77777777" w:rsidTr="00DF6E93">
        <w:tc>
          <w:tcPr>
            <w:tcW w:w="3240" w:type="dxa"/>
          </w:tcPr>
          <w:p w14:paraId="6ACCC500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7.0212(A)(12) – Small Enclosure Staging Area</w:t>
            </w:r>
          </w:p>
        </w:tc>
        <w:tc>
          <w:tcPr>
            <w:tcW w:w="720" w:type="dxa"/>
            <w:vAlign w:val="center"/>
          </w:tcPr>
          <w:p w14:paraId="4CAE8E21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F8F6F03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395735CE" w14:textId="77777777" w:rsidTr="00DF6E93">
        <w:tc>
          <w:tcPr>
            <w:tcW w:w="3240" w:type="dxa"/>
          </w:tcPr>
          <w:p w14:paraId="2A36AD16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7.0212(A)(13) – Enclosure Approach and Staging Area Maximum Grade</w:t>
            </w:r>
          </w:p>
        </w:tc>
        <w:tc>
          <w:tcPr>
            <w:tcW w:w="720" w:type="dxa"/>
            <w:vAlign w:val="center"/>
          </w:tcPr>
          <w:p w14:paraId="0E9AE86E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7D389B8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676F8CDD" w14:textId="77777777" w:rsidTr="00DF6E93">
        <w:tc>
          <w:tcPr>
            <w:tcW w:w="3240" w:type="dxa"/>
          </w:tcPr>
          <w:p w14:paraId="61B7F122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lastRenderedPageBreak/>
              <w:t>7.0212(A)(14) – Container Spacing within Collection Enclosure</w:t>
            </w:r>
          </w:p>
        </w:tc>
        <w:tc>
          <w:tcPr>
            <w:tcW w:w="720" w:type="dxa"/>
            <w:vAlign w:val="center"/>
          </w:tcPr>
          <w:p w14:paraId="68AA8243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054272B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4931AAC5" w14:textId="77777777" w:rsidTr="00DF6E93">
        <w:tc>
          <w:tcPr>
            <w:tcW w:w="3240" w:type="dxa"/>
          </w:tcPr>
          <w:p w14:paraId="3D7BD805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 xml:space="preserve">7.0212(A)(15) – Area Spacing for Collection Enclosure </w:t>
            </w:r>
            <w:r w:rsidR="00EE7DDB">
              <w:rPr>
                <w:rFonts w:ascii="Calibri" w:hAnsi="Calibri"/>
              </w:rPr>
              <w:t xml:space="preserve">Perimeter </w:t>
            </w:r>
            <w:r w:rsidRPr="006E7829">
              <w:rPr>
                <w:rFonts w:ascii="Calibri" w:hAnsi="Calibri"/>
              </w:rPr>
              <w:t>Maintenance</w:t>
            </w:r>
          </w:p>
        </w:tc>
        <w:tc>
          <w:tcPr>
            <w:tcW w:w="720" w:type="dxa"/>
            <w:vAlign w:val="center"/>
          </w:tcPr>
          <w:p w14:paraId="531B1A92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1D73C50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0ABD9409" w14:textId="77777777" w:rsidTr="00DF6E93">
        <w:tc>
          <w:tcPr>
            <w:tcW w:w="3240" w:type="dxa"/>
          </w:tcPr>
          <w:p w14:paraId="11711C04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7.0212(A)(16) – Large Container Orientation</w:t>
            </w:r>
          </w:p>
        </w:tc>
        <w:tc>
          <w:tcPr>
            <w:tcW w:w="720" w:type="dxa"/>
            <w:vAlign w:val="center"/>
          </w:tcPr>
          <w:p w14:paraId="3B4C6DC4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7E1BC766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6310CB" w:rsidRPr="001C2F2E" w14:paraId="711E6079" w14:textId="77777777" w:rsidTr="00DF6E93">
        <w:tc>
          <w:tcPr>
            <w:tcW w:w="3240" w:type="dxa"/>
          </w:tcPr>
          <w:p w14:paraId="25E4DA0A" w14:textId="77777777" w:rsidR="006310CB" w:rsidRPr="006E7829" w:rsidRDefault="006310CB" w:rsidP="006310CB">
            <w:pPr>
              <w:rPr>
                <w:rFonts w:ascii="Calibri" w:hAnsi="Calibri"/>
              </w:rPr>
            </w:pPr>
            <w:r w:rsidRPr="006E7829">
              <w:rPr>
                <w:rFonts w:ascii="Calibri" w:hAnsi="Calibri"/>
              </w:rPr>
              <w:t>7.0212(A)(17) – Access Maneuvering Area for Enclosures with Large Containers</w:t>
            </w:r>
          </w:p>
        </w:tc>
        <w:tc>
          <w:tcPr>
            <w:tcW w:w="720" w:type="dxa"/>
            <w:vAlign w:val="center"/>
          </w:tcPr>
          <w:p w14:paraId="578D7105" w14:textId="77777777" w:rsidR="006310CB" w:rsidRPr="001C2F2E" w:rsidRDefault="006310CB" w:rsidP="006310CB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835C047" w14:textId="77777777" w:rsidR="006310CB" w:rsidRPr="001C2F2E" w:rsidRDefault="006310CB" w:rsidP="006310C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3567E563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6DD7E24D" w14:textId="77777777" w:rsidR="001C2F2E" w:rsidRPr="001C2F2E" w:rsidRDefault="001C2F2E" w:rsidP="00EE7DD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7.0212(B) – Collection Area Standards for Drop Boxes and Compactors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5AE3600A" w14:textId="77777777" w:rsidTr="00DF6E93">
        <w:trPr>
          <w:tblHeader/>
        </w:trPr>
        <w:tc>
          <w:tcPr>
            <w:tcW w:w="3240" w:type="dxa"/>
            <w:vAlign w:val="center"/>
          </w:tcPr>
          <w:p w14:paraId="0E118DED" w14:textId="77777777" w:rsidR="001C2F2E" w:rsidRPr="001C2F2E" w:rsidRDefault="001C2F2E" w:rsidP="009B3E8F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527E6A9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56CB936B" w14:textId="77777777" w:rsidR="001C2F2E" w:rsidRPr="001C2F2E" w:rsidRDefault="001C2F2E" w:rsidP="000E551A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1F866A3F" w14:textId="77777777" w:rsidTr="00DF6E93">
        <w:tc>
          <w:tcPr>
            <w:tcW w:w="3240" w:type="dxa"/>
          </w:tcPr>
          <w:p w14:paraId="5FE83640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7.0212(B)(1) – Pad Size</w:t>
            </w:r>
          </w:p>
        </w:tc>
        <w:tc>
          <w:tcPr>
            <w:tcW w:w="720" w:type="dxa"/>
            <w:vAlign w:val="center"/>
          </w:tcPr>
          <w:p w14:paraId="6A760E3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E0B3894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639746A4" w14:textId="77777777" w:rsidTr="00DF6E93">
        <w:tc>
          <w:tcPr>
            <w:tcW w:w="3240" w:type="dxa"/>
          </w:tcPr>
          <w:p w14:paraId="02A6BC9F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7.0212(B)(2) – Pad Setback</w:t>
            </w:r>
          </w:p>
        </w:tc>
        <w:tc>
          <w:tcPr>
            <w:tcW w:w="720" w:type="dxa"/>
            <w:vAlign w:val="center"/>
          </w:tcPr>
          <w:p w14:paraId="519EC90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393AE6C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1A846A7B" w14:textId="77777777" w:rsidTr="00DF6E93">
        <w:tc>
          <w:tcPr>
            <w:tcW w:w="3240" w:type="dxa"/>
          </w:tcPr>
          <w:p w14:paraId="3D7DE083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7.0212(B)(3) – Loading Docks</w:t>
            </w:r>
          </w:p>
        </w:tc>
        <w:tc>
          <w:tcPr>
            <w:tcW w:w="720" w:type="dxa"/>
            <w:vAlign w:val="center"/>
          </w:tcPr>
          <w:p w14:paraId="211AE0C0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1F2CF374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04A320F5" w14:textId="77777777" w:rsidTr="00DF6E93">
        <w:tc>
          <w:tcPr>
            <w:tcW w:w="3240" w:type="dxa"/>
          </w:tcPr>
          <w:p w14:paraId="64F5B325" w14:textId="77777777" w:rsidR="001C2F2E" w:rsidRPr="009B3E8F" w:rsidRDefault="001C2F2E" w:rsidP="00EE7DDB">
            <w:pPr>
              <w:rPr>
                <w:rFonts w:ascii="Calibri" w:hAnsi="Calibri"/>
              </w:rPr>
            </w:pPr>
            <w:r w:rsidRPr="009B3E8F">
              <w:rPr>
                <w:rFonts w:ascii="Calibri" w:hAnsi="Calibri"/>
              </w:rPr>
              <w:t>7.0212(B)(4) – Compactor Equipment Compatibility</w:t>
            </w:r>
          </w:p>
        </w:tc>
        <w:tc>
          <w:tcPr>
            <w:tcW w:w="720" w:type="dxa"/>
            <w:vAlign w:val="center"/>
          </w:tcPr>
          <w:p w14:paraId="40E670B4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637E7032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013414F9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46155040" w14:textId="77777777" w:rsidR="001C2F2E" w:rsidRPr="001C2F2E" w:rsidRDefault="001C2F2E" w:rsidP="007B2160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7.0212(C) – Standards for On-Site Storage of Special Wastes/Recyclable Materials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0CD7DD0D" w14:textId="77777777" w:rsidTr="00DF6E93">
        <w:trPr>
          <w:tblHeader/>
        </w:trPr>
        <w:tc>
          <w:tcPr>
            <w:tcW w:w="3240" w:type="dxa"/>
            <w:vAlign w:val="center"/>
          </w:tcPr>
          <w:p w14:paraId="3AB47F25" w14:textId="77777777" w:rsidR="001C2F2E" w:rsidRPr="001C2F2E" w:rsidRDefault="001C2F2E" w:rsidP="00BE2BF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397E6FDB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4295EDFD" w14:textId="77777777" w:rsidR="001C2F2E" w:rsidRPr="001C2F2E" w:rsidRDefault="001C2F2E" w:rsidP="00BE2BF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08E424ED" w14:textId="77777777" w:rsidTr="00DF6E93">
        <w:tc>
          <w:tcPr>
            <w:tcW w:w="3240" w:type="dxa"/>
          </w:tcPr>
          <w:p w14:paraId="504802E7" w14:textId="77777777" w:rsidR="001C2F2E" w:rsidRPr="007B2160" w:rsidRDefault="001C2F2E" w:rsidP="007B2160">
            <w:pPr>
              <w:rPr>
                <w:rFonts w:ascii="Calibri" w:hAnsi="Calibri"/>
              </w:rPr>
            </w:pPr>
            <w:r w:rsidRPr="007B2160">
              <w:rPr>
                <w:rFonts w:ascii="Calibri" w:hAnsi="Calibri"/>
              </w:rPr>
              <w:t>7.0212(C)(1) – Compliance with DEQ Standards for Environmentally Hazardous Wastes</w:t>
            </w:r>
          </w:p>
        </w:tc>
        <w:tc>
          <w:tcPr>
            <w:tcW w:w="720" w:type="dxa"/>
            <w:vAlign w:val="center"/>
          </w:tcPr>
          <w:p w14:paraId="75A4472F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3A4BCC29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0442305F" w14:textId="77777777" w:rsidTr="00DF6E93">
        <w:tc>
          <w:tcPr>
            <w:tcW w:w="3240" w:type="dxa"/>
          </w:tcPr>
          <w:p w14:paraId="33695E62" w14:textId="77777777" w:rsidR="001C2F2E" w:rsidRPr="007B2160" w:rsidRDefault="001C2F2E" w:rsidP="007B2160">
            <w:pPr>
              <w:rPr>
                <w:rFonts w:ascii="Calibri" w:hAnsi="Calibri"/>
              </w:rPr>
            </w:pPr>
            <w:r w:rsidRPr="007B2160">
              <w:rPr>
                <w:rFonts w:ascii="Calibri" w:hAnsi="Calibri"/>
              </w:rPr>
              <w:t>7.0212(C)(2) – Oils, Grease Animal Rendering Recycling or Disposal Area Locations</w:t>
            </w:r>
          </w:p>
        </w:tc>
        <w:tc>
          <w:tcPr>
            <w:tcW w:w="720" w:type="dxa"/>
            <w:vAlign w:val="center"/>
          </w:tcPr>
          <w:p w14:paraId="6C56979C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51033CD9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7A465053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7684799C" w14:textId="77777777" w:rsidR="001C2F2E" w:rsidRPr="001C2F2E" w:rsidRDefault="001C2F2E" w:rsidP="00BE2BFB">
      <w:pPr>
        <w:rPr>
          <w:rFonts w:ascii="Calibri" w:hAnsi="Calibri"/>
          <w:b/>
        </w:rPr>
      </w:pPr>
      <w:r w:rsidRPr="001C2F2E">
        <w:rPr>
          <w:rFonts w:ascii="Calibri" w:hAnsi="Calibri"/>
          <w:b/>
        </w:rPr>
        <w:t>7.0212(D) – Exceptions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1C2F2E" w:rsidRPr="001C2F2E" w14:paraId="100CB8E1" w14:textId="77777777" w:rsidTr="00DF6E93">
        <w:trPr>
          <w:tblHeader/>
        </w:trPr>
        <w:tc>
          <w:tcPr>
            <w:tcW w:w="3240" w:type="dxa"/>
            <w:vAlign w:val="center"/>
          </w:tcPr>
          <w:p w14:paraId="533A4072" w14:textId="77777777" w:rsidR="001C2F2E" w:rsidRPr="001C2F2E" w:rsidRDefault="001C2F2E" w:rsidP="00074449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</w:tcPr>
          <w:p w14:paraId="7CC7291B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</w:tcPr>
          <w:p w14:paraId="7F80ECE3" w14:textId="77777777" w:rsidR="001C2F2E" w:rsidRPr="001C2F2E" w:rsidRDefault="001C2F2E" w:rsidP="00074449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t>Findings</w:t>
            </w:r>
          </w:p>
        </w:tc>
      </w:tr>
      <w:tr w:rsidR="001C2F2E" w:rsidRPr="001C2F2E" w14:paraId="21173922" w14:textId="77777777" w:rsidTr="00DF6E93">
        <w:tc>
          <w:tcPr>
            <w:tcW w:w="3240" w:type="dxa"/>
          </w:tcPr>
          <w:p w14:paraId="531D3F51" w14:textId="77777777" w:rsidR="001C2F2E" w:rsidRPr="00CD2662" w:rsidRDefault="001C2F2E" w:rsidP="00074449">
            <w:pPr>
              <w:rPr>
                <w:rFonts w:ascii="Calibri" w:hAnsi="Calibri"/>
              </w:rPr>
            </w:pPr>
            <w:r w:rsidRPr="00CD2662">
              <w:rPr>
                <w:rFonts w:ascii="Calibri" w:hAnsi="Calibri"/>
              </w:rPr>
              <w:t>7.0212(D)(1) – Compatible with Service Provider’s Methods of Operation</w:t>
            </w:r>
          </w:p>
        </w:tc>
        <w:tc>
          <w:tcPr>
            <w:tcW w:w="720" w:type="dxa"/>
            <w:vAlign w:val="center"/>
          </w:tcPr>
          <w:p w14:paraId="2412ED61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05296BBF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  <w:tr w:rsidR="001C2F2E" w:rsidRPr="001C2F2E" w14:paraId="5E6589EA" w14:textId="77777777" w:rsidTr="00DF6E93">
        <w:tc>
          <w:tcPr>
            <w:tcW w:w="3240" w:type="dxa"/>
          </w:tcPr>
          <w:p w14:paraId="12F7906A" w14:textId="77777777" w:rsidR="001C2F2E" w:rsidRPr="00CD2662" w:rsidRDefault="001C2F2E" w:rsidP="00074449">
            <w:pPr>
              <w:rPr>
                <w:rFonts w:ascii="Calibri" w:hAnsi="Calibri"/>
              </w:rPr>
            </w:pPr>
            <w:r w:rsidRPr="00CD2662">
              <w:rPr>
                <w:rFonts w:ascii="Calibri" w:hAnsi="Calibri"/>
              </w:rPr>
              <w:t>7.0212(D)(2) – No Unreasonable Increase in the Cost of Service</w:t>
            </w:r>
          </w:p>
        </w:tc>
        <w:tc>
          <w:tcPr>
            <w:tcW w:w="720" w:type="dxa"/>
            <w:vAlign w:val="center"/>
          </w:tcPr>
          <w:p w14:paraId="3E6BFBCA" w14:textId="77777777" w:rsidR="001C2F2E" w:rsidRPr="001C2F2E" w:rsidRDefault="001C2F2E" w:rsidP="001C2F2E">
            <w:pPr>
              <w:jc w:val="center"/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FORMCHECKBOX </w:instrText>
            </w:r>
            <w:r w:rsidR="00754FC9">
              <w:rPr>
                <w:rFonts w:ascii="Calibri" w:hAnsi="Calibri"/>
                <w:b/>
              </w:rPr>
            </w:r>
            <w:r w:rsidR="00754FC9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6840" w:type="dxa"/>
          </w:tcPr>
          <w:p w14:paraId="4FA74096" w14:textId="77777777" w:rsidR="001C2F2E" w:rsidRPr="001C2F2E" w:rsidRDefault="001C2F2E" w:rsidP="007F461B">
            <w:pPr>
              <w:rPr>
                <w:rFonts w:ascii="Calibri" w:hAnsi="Calibri"/>
                <w:b/>
              </w:rPr>
            </w:pPr>
            <w:r w:rsidRPr="001C2F2E">
              <w:rPr>
                <w:rFonts w:ascii="Calibri" w:hAnsi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F2E">
              <w:rPr>
                <w:rFonts w:ascii="Calibri" w:hAnsi="Calibri"/>
                <w:b/>
              </w:rPr>
              <w:instrText xml:space="preserve"> FORMTEXT </w:instrText>
            </w:r>
            <w:r w:rsidRPr="001C2F2E">
              <w:rPr>
                <w:rFonts w:ascii="Calibri" w:hAnsi="Calibri"/>
                <w:b/>
              </w:rPr>
            </w:r>
            <w:r w:rsidRPr="001C2F2E">
              <w:rPr>
                <w:rFonts w:ascii="Calibri" w:hAnsi="Calibri"/>
                <w:b/>
              </w:rPr>
              <w:fldChar w:fldCharType="separate"/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t> </w:t>
            </w:r>
            <w:r w:rsidRPr="001C2F2E"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7868C486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664845CF" w14:textId="77777777" w:rsidR="001C2F2E" w:rsidRPr="001C2F2E" w:rsidRDefault="001C2F2E" w:rsidP="001C2F2E">
      <w:pPr>
        <w:jc w:val="center"/>
        <w:rPr>
          <w:rFonts w:ascii="Calibri" w:hAnsi="Calibri"/>
          <w:b/>
        </w:rPr>
      </w:pPr>
    </w:p>
    <w:p w14:paraId="7DAAFD39" w14:textId="77777777" w:rsidR="00471EDC" w:rsidRPr="009C2838" w:rsidRDefault="00471EDC" w:rsidP="00E04A85">
      <w:pPr>
        <w:jc w:val="center"/>
        <w:rPr>
          <w:rFonts w:ascii="Calibri" w:hAnsi="Calibri"/>
          <w:b/>
        </w:rPr>
      </w:pPr>
    </w:p>
    <w:sectPr w:rsidR="00471EDC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1A94" w14:textId="77777777" w:rsidR="0048684C" w:rsidRDefault="0048684C">
      <w:r>
        <w:separator/>
      </w:r>
    </w:p>
  </w:endnote>
  <w:endnote w:type="continuationSeparator" w:id="0">
    <w:p w14:paraId="4BC76047" w14:textId="77777777" w:rsidR="0048684C" w:rsidRDefault="0048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33A2" w14:textId="460FCDD7" w:rsidR="00AF58D1" w:rsidRPr="007F461B" w:rsidRDefault="007F461B" w:rsidP="007F461B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48684C">
      <w:rPr>
        <w:rStyle w:val="PageNumber"/>
        <w:rFonts w:ascii="Calibri" w:hAnsi="Calibri"/>
        <w:sz w:val="18"/>
        <w:szCs w:val="18"/>
      </w:rPr>
      <w:t>7.0212 Solid Waste</w:t>
    </w:r>
    <w:r>
      <w:rPr>
        <w:rStyle w:val="PageNumber"/>
        <w:rFonts w:ascii="Calibri" w:hAnsi="Calibri"/>
        <w:sz w:val="18"/>
        <w:szCs w:val="18"/>
      </w:rPr>
      <w:t xml:space="preserve"> &amp;</w:t>
    </w:r>
    <w:r w:rsidRPr="0048684C">
      <w:rPr>
        <w:rStyle w:val="PageNumber"/>
        <w:rFonts w:ascii="Calibri" w:hAnsi="Calibri"/>
        <w:sz w:val="18"/>
        <w:szCs w:val="18"/>
      </w:rPr>
      <w:t xml:space="preserve"> Recycling Collection Areas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B94E" w14:textId="3BE6A603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3545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48684C" w:rsidRPr="0048684C">
      <w:rPr>
        <w:rStyle w:val="PageNumber"/>
        <w:rFonts w:ascii="Calibri" w:hAnsi="Calibri"/>
        <w:sz w:val="18"/>
        <w:szCs w:val="18"/>
      </w:rPr>
      <w:t>7.0212 Solid Waste</w:t>
    </w:r>
    <w:r w:rsidR="00D531E2">
      <w:rPr>
        <w:rStyle w:val="PageNumber"/>
        <w:rFonts w:ascii="Calibri" w:hAnsi="Calibri"/>
        <w:sz w:val="18"/>
        <w:szCs w:val="18"/>
      </w:rPr>
      <w:t xml:space="preserve"> &amp;</w:t>
    </w:r>
    <w:r w:rsidR="0048684C" w:rsidRPr="0048684C">
      <w:rPr>
        <w:rStyle w:val="PageNumber"/>
        <w:rFonts w:ascii="Calibri" w:hAnsi="Calibri"/>
        <w:sz w:val="18"/>
        <w:szCs w:val="18"/>
      </w:rPr>
      <w:t xml:space="preserve"> Recycling Collection Areas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48684C">
      <w:rPr>
        <w:rFonts w:ascii="Calibri" w:hAnsi="Calibri"/>
        <w:sz w:val="18"/>
        <w:szCs w:val="18"/>
      </w:rPr>
      <w:t>March</w:t>
    </w:r>
    <w:r w:rsidR="00EC0242" w:rsidRPr="00EC0242">
      <w:rPr>
        <w:rFonts w:ascii="Calibri" w:hAnsi="Calibri"/>
        <w:sz w:val="18"/>
        <w:szCs w:val="18"/>
      </w:rPr>
      <w:t xml:space="preserve"> 201</w:t>
    </w:r>
    <w:r w:rsidR="0048684C">
      <w:rPr>
        <w:rFonts w:ascii="Calibri" w:hAnsi="Calibri"/>
        <w:sz w:val="18"/>
        <w:szCs w:val="18"/>
      </w:rPr>
      <w:t>6</w:t>
    </w:r>
    <w:r w:rsidR="00EC0242" w:rsidRPr="00EC0242">
      <w:rPr>
        <w:rFonts w:ascii="Calibri" w:hAnsi="Calibri"/>
        <w:sz w:val="18"/>
        <w:szCs w:val="18"/>
      </w:rPr>
      <w:tab/>
    </w:r>
  </w:p>
  <w:p w14:paraId="1C15B18A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CA90" w14:textId="77777777" w:rsidR="0048684C" w:rsidRDefault="0048684C">
      <w:r>
        <w:separator/>
      </w:r>
    </w:p>
  </w:footnote>
  <w:footnote w:type="continuationSeparator" w:id="0">
    <w:p w14:paraId="0E8F981C" w14:textId="77777777" w:rsidR="0048684C" w:rsidRDefault="0048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3196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728EA02" wp14:editId="759ADC9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D136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11CC1" wp14:editId="2C9CCBFA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1F7A5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7A63D06" wp14:editId="6F74374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11C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13E1F7A5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7A63D06" wp14:editId="6F74374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684C" w:rsidRPr="0048684C">
      <w:rPr>
        <w:rFonts w:ascii="Calibri" w:hAnsi="Calibri"/>
        <w:b/>
        <w:noProof/>
        <w:sz w:val="28"/>
        <w:szCs w:val="28"/>
      </w:rPr>
      <w:t>7.0212 Solid Waste</w:t>
    </w:r>
    <w:r w:rsidR="00D531E2">
      <w:rPr>
        <w:rFonts w:ascii="Calibri" w:hAnsi="Calibri"/>
        <w:b/>
        <w:noProof/>
        <w:sz w:val="28"/>
        <w:szCs w:val="28"/>
      </w:rPr>
      <w:t xml:space="preserve"> &amp;</w:t>
    </w:r>
    <w:r w:rsidR="0048684C" w:rsidRPr="0048684C">
      <w:rPr>
        <w:rFonts w:ascii="Calibri" w:hAnsi="Calibri"/>
        <w:b/>
        <w:noProof/>
        <w:sz w:val="28"/>
        <w:szCs w:val="28"/>
      </w:rPr>
      <w:t xml:space="preserve"> Recycling Collection Areas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5EE63E72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1F67C8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tIVzrGkpgOH0fT9CeKwrcq0qE55hb7iluqJXLLLbyC/uvTO5Pu2Xz79MGaiqNvGQqqeWFagqwYfcblYwHfa4A==" w:salt="q4kokiJ+F5IuwUAC3wkAG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C"/>
    <w:rsid w:val="0004157D"/>
    <w:rsid w:val="0006575A"/>
    <w:rsid w:val="00074449"/>
    <w:rsid w:val="00096D08"/>
    <w:rsid w:val="000E31EA"/>
    <w:rsid w:val="000E551A"/>
    <w:rsid w:val="00145F13"/>
    <w:rsid w:val="00157242"/>
    <w:rsid w:val="001C2F2E"/>
    <w:rsid w:val="001D789B"/>
    <w:rsid w:val="002A3F59"/>
    <w:rsid w:val="002C2BB7"/>
    <w:rsid w:val="003A2334"/>
    <w:rsid w:val="003B1525"/>
    <w:rsid w:val="00417AF7"/>
    <w:rsid w:val="00432EA6"/>
    <w:rsid w:val="00471EDC"/>
    <w:rsid w:val="0048684C"/>
    <w:rsid w:val="00521967"/>
    <w:rsid w:val="00595DDA"/>
    <w:rsid w:val="005D7342"/>
    <w:rsid w:val="005E51D3"/>
    <w:rsid w:val="006310CB"/>
    <w:rsid w:val="00655529"/>
    <w:rsid w:val="0069637D"/>
    <w:rsid w:val="006C5E55"/>
    <w:rsid w:val="006E7829"/>
    <w:rsid w:val="00724796"/>
    <w:rsid w:val="0072550E"/>
    <w:rsid w:val="00754FC9"/>
    <w:rsid w:val="0075672D"/>
    <w:rsid w:val="007B2160"/>
    <w:rsid w:val="007C155E"/>
    <w:rsid w:val="007D172D"/>
    <w:rsid w:val="007F461B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6299A"/>
    <w:rsid w:val="00976EC0"/>
    <w:rsid w:val="009B3E8F"/>
    <w:rsid w:val="009C2838"/>
    <w:rsid w:val="00A35454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BE2BFB"/>
    <w:rsid w:val="00C05290"/>
    <w:rsid w:val="00C442E7"/>
    <w:rsid w:val="00C552BE"/>
    <w:rsid w:val="00CC7A3C"/>
    <w:rsid w:val="00CD2662"/>
    <w:rsid w:val="00CE0C4B"/>
    <w:rsid w:val="00D06FF8"/>
    <w:rsid w:val="00D207F2"/>
    <w:rsid w:val="00D2190D"/>
    <w:rsid w:val="00D531E2"/>
    <w:rsid w:val="00D661B0"/>
    <w:rsid w:val="00D9356D"/>
    <w:rsid w:val="00DA38D0"/>
    <w:rsid w:val="00DC4377"/>
    <w:rsid w:val="00E04A85"/>
    <w:rsid w:val="00EC0242"/>
    <w:rsid w:val="00EE7DDB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FB1CAF"/>
  <w15:chartTrackingRefBased/>
  <w15:docId w15:val="{075897FE-11B0-4D02-B9FD-8CDFA78B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9B4B1D-D03E-4EFD-A828-92F837E0C274}"/>
</file>

<file path=customXml/itemProps2.xml><?xml version="1.0" encoding="utf-8"?>
<ds:datastoreItem xmlns:ds="http://schemas.openxmlformats.org/officeDocument/2006/customXml" ds:itemID="{C07803AB-86D7-4C31-AE8F-BE00D3AAFC5F}"/>
</file>

<file path=customXml/itemProps3.xml><?xml version="1.0" encoding="utf-8"?>
<ds:datastoreItem xmlns:ds="http://schemas.openxmlformats.org/officeDocument/2006/customXml" ds:itemID="{D0454849-665E-4B6D-9285-18C6FD3767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2636</Characters>
  <Application>Microsoft Office Word</Application>
  <DocSecurity>0</DocSecurity>
  <Lines>164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2023-02-22T21:23:00Z</dcterms:created>
  <dcterms:modified xsi:type="dcterms:W3CDTF">2023-02-22T21:23:00Z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