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47AF" w14:textId="77777777" w:rsidR="00E657CC" w:rsidRPr="00E657CC" w:rsidRDefault="00E657CC" w:rsidP="004D5719">
      <w:pPr>
        <w:jc w:val="center"/>
        <w:rPr>
          <w:b/>
          <w:bCs/>
        </w:rPr>
      </w:pPr>
      <w:r w:rsidRPr="00E657CC">
        <w:rPr>
          <w:b/>
        </w:rPr>
        <w:t>8.0200</w:t>
      </w:r>
      <w:r w:rsidRPr="00E657CC">
        <w:rPr>
          <w:b/>
        </w:rPr>
        <w:tab/>
      </w:r>
      <w:r w:rsidRPr="00E657CC">
        <w:rPr>
          <w:b/>
          <w:bCs/>
        </w:rPr>
        <w:t>Existing Nonconforming Uses and Development</w:t>
      </w:r>
    </w:p>
    <w:p w14:paraId="5BE447B0" w14:textId="77777777" w:rsidR="00E657CC" w:rsidRPr="00E657CC" w:rsidRDefault="00E657CC" w:rsidP="004D5719">
      <w:pPr>
        <w:pStyle w:val="Heading1"/>
      </w:pPr>
      <w:r w:rsidRPr="00E657CC">
        <w:t>8.0221 –Design Review Standards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657CC" w:rsidRPr="00E657CC" w14:paraId="5BE447B4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B1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B2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B3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Findings</w:t>
            </w:r>
          </w:p>
        </w:tc>
      </w:tr>
      <w:tr w:rsidR="00E657CC" w:rsidRPr="00E657CC" w14:paraId="5BE447B8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B5" w14:textId="77777777" w:rsidR="00E657CC" w:rsidRPr="00E657CC" w:rsidRDefault="00E657CC" w:rsidP="00E657CC">
            <w:r w:rsidRPr="00E657CC">
              <w:rPr>
                <w:bCs/>
              </w:rPr>
              <w:t>8.0202 – Upgrades to Portions of the Site Not Being Otherwise Developed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B6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bookmarkStart w:id="0" w:name="Text1"/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B7" w14:textId="77777777" w:rsidR="00E657CC" w:rsidRPr="00E657CC" w:rsidRDefault="00E657CC" w:rsidP="00E657CC">
            <w:r w:rsidRPr="00E657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  <w:bookmarkEnd w:id="0"/>
          </w:p>
        </w:tc>
      </w:tr>
    </w:tbl>
    <w:p w14:paraId="5BE447B9" w14:textId="77777777" w:rsidR="00E657CC" w:rsidRPr="00E657CC" w:rsidRDefault="00E657CC" w:rsidP="00E657CC"/>
    <w:p w14:paraId="5BE447BA" w14:textId="77777777" w:rsidR="00E657CC" w:rsidRPr="00E657CC" w:rsidRDefault="00E657CC" w:rsidP="004D5719">
      <w:pPr>
        <w:pStyle w:val="Heading1"/>
      </w:pPr>
      <w:r w:rsidRPr="00E657CC">
        <w:t>8.0211 – Legal Nonconforming Situations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657CC" w:rsidRPr="00E657CC" w14:paraId="5BE447BE" w14:textId="77777777" w:rsidTr="00607F14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BB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BC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BD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Findings</w:t>
            </w:r>
          </w:p>
        </w:tc>
      </w:tr>
      <w:tr w:rsidR="00E657CC" w:rsidRPr="00E657CC" w14:paraId="5BE447C2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BF" w14:textId="77777777" w:rsidR="00E657CC" w:rsidRPr="00E657CC" w:rsidRDefault="00E657CC" w:rsidP="00E657CC">
            <w:r w:rsidRPr="00E657CC">
              <w:rPr>
                <w:bCs/>
              </w:rPr>
              <w:t>8.0211 – What Constitutes a Legal Nonconforming Situation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C0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C1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</w:tbl>
    <w:p w14:paraId="5BE447C3" w14:textId="77777777" w:rsidR="00E657CC" w:rsidRPr="00E657CC" w:rsidRDefault="00E657CC" w:rsidP="00E657CC"/>
    <w:p w14:paraId="5BE447C4" w14:textId="77777777" w:rsidR="00E657CC" w:rsidRPr="00E657CC" w:rsidRDefault="00E657CC" w:rsidP="004D5719">
      <w:pPr>
        <w:pStyle w:val="Heading1"/>
      </w:pPr>
      <w:r w:rsidRPr="00E657CC">
        <w:t>8.0220 – Changes to Nonconforming Uses and Developments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657CC" w:rsidRPr="00E657CC" w14:paraId="5BE447C8" w14:textId="77777777" w:rsidTr="00777889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C5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C6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C7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Findings</w:t>
            </w:r>
          </w:p>
        </w:tc>
      </w:tr>
      <w:tr w:rsidR="00392F3A" w:rsidRPr="00E657CC" w14:paraId="5BE447CC" w14:textId="77777777" w:rsidTr="00777889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C9" w14:textId="77777777" w:rsidR="00392F3A" w:rsidRPr="00E657CC" w:rsidRDefault="00392F3A" w:rsidP="00392F3A">
            <w:r>
              <w:t>8.0220(A) – Undue Hardship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CA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CB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92F3A" w:rsidRPr="00E657CC" w14:paraId="5BE447D0" w14:textId="77777777" w:rsidTr="00777889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CD" w14:textId="77777777" w:rsidR="00392F3A" w:rsidRPr="00E657CC" w:rsidRDefault="00392F3A" w:rsidP="00392F3A">
            <w:r>
              <w:t>8.0220(B) – Containment of Expansion to Existing Areas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CE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CF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92F3A" w:rsidRPr="00E657CC" w14:paraId="5BE447D4" w14:textId="77777777" w:rsidTr="00777889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D1" w14:textId="77777777" w:rsidR="00392F3A" w:rsidRPr="00E657CC" w:rsidRDefault="00392F3A" w:rsidP="00392F3A">
            <w:r>
              <w:t>8.0220(C) – Expansion within Existing Building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D2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D3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92F3A" w:rsidRPr="00E657CC" w14:paraId="5BE447D8" w14:textId="77777777" w:rsidTr="00777889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D5" w14:textId="77777777" w:rsidR="00392F3A" w:rsidRDefault="00392F3A" w:rsidP="00392F3A">
            <w:r>
              <w:t>8.0220(D) – Allowance for Normal Maintenance &amp; Repair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D6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D7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92F3A" w:rsidRPr="00E657CC" w14:paraId="5BE447DC" w14:textId="77777777" w:rsidTr="00777889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D9" w14:textId="77777777" w:rsidR="00392F3A" w:rsidRPr="00E657CC" w:rsidRDefault="00392F3A" w:rsidP="00400A10">
            <w:r w:rsidRPr="00E657CC">
              <w:t>8.0220(</w:t>
            </w:r>
            <w:r w:rsidR="00400A10">
              <w:t>E</w:t>
            </w:r>
            <w:r w:rsidRPr="00E657CC">
              <w:t xml:space="preserve">) Detrimental Effects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DA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DB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92F3A" w:rsidRPr="00E657CC" w14:paraId="5BE447E0" w14:textId="77777777" w:rsidTr="0077788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DD" w14:textId="77777777" w:rsidR="00392F3A" w:rsidRPr="00E657CC" w:rsidRDefault="00392F3A" w:rsidP="00400A10">
            <w:r w:rsidRPr="00E657CC">
              <w:t>8.0220(</w:t>
            </w:r>
            <w:r w:rsidR="00400A10">
              <w:t>F</w:t>
            </w:r>
            <w:r w:rsidRPr="00E657CC">
              <w:t>) – Building Code Occupancy and Risk to Life/Fire Hazard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DE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DF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92F3A" w:rsidRPr="00E657CC" w14:paraId="5BE447E4" w14:textId="77777777" w:rsidTr="0077788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E1" w14:textId="77777777" w:rsidR="00392F3A" w:rsidRPr="00E657CC" w:rsidRDefault="00392F3A" w:rsidP="00400A10">
            <w:r w:rsidRPr="00E657CC">
              <w:rPr>
                <w:bCs/>
              </w:rPr>
              <w:t>8.0220(</w:t>
            </w:r>
            <w:r w:rsidR="00400A10">
              <w:rPr>
                <w:bCs/>
              </w:rPr>
              <w:t>G</w:t>
            </w:r>
            <w:r w:rsidRPr="00E657CC">
              <w:rPr>
                <w:bCs/>
              </w:rPr>
              <w:t xml:space="preserve">) – Full Conformance </w:t>
            </w:r>
            <w:proofErr w:type="gramStart"/>
            <w:r w:rsidRPr="00E657CC">
              <w:rPr>
                <w:bCs/>
              </w:rPr>
              <w:t>With</w:t>
            </w:r>
            <w:proofErr w:type="gramEnd"/>
            <w:r w:rsidRPr="00E657CC">
              <w:rPr>
                <w:bCs/>
              </w:rPr>
              <w:t xml:space="preserve"> Public Facilities, Buffering and Screening, and 10% upgrades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E2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E3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92F3A" w:rsidRPr="00E657CC" w14:paraId="5BE447E8" w14:textId="77777777" w:rsidTr="0077788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E5" w14:textId="77777777" w:rsidR="00392F3A" w:rsidRPr="00E657CC" w:rsidRDefault="00392F3A" w:rsidP="00302253">
            <w:r w:rsidRPr="00E657CC">
              <w:rPr>
                <w:bCs/>
              </w:rPr>
              <w:t>8</w:t>
            </w:r>
            <w:r w:rsidR="00302253">
              <w:rPr>
                <w:bCs/>
              </w:rPr>
              <w:t>.0220(H</w:t>
            </w:r>
            <w:r w:rsidRPr="00E657CC">
              <w:rPr>
                <w:bCs/>
              </w:rPr>
              <w:t xml:space="preserve">) – </w:t>
            </w:r>
            <w:r w:rsidR="00302253">
              <w:rPr>
                <w:bCs/>
              </w:rPr>
              <w:t>Full Conformance with L</w:t>
            </w:r>
            <w:r w:rsidRPr="00E657CC">
              <w:rPr>
                <w:bCs/>
              </w:rPr>
              <w:t>andscaping</w:t>
            </w:r>
            <w:r w:rsidR="00302253">
              <w:rPr>
                <w:bCs/>
              </w:rPr>
              <w:t xml:space="preserve"> Ratios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E6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E7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92F3A" w:rsidRPr="00E657CC" w14:paraId="5BE447EC" w14:textId="77777777" w:rsidTr="00A602D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E9" w14:textId="77777777" w:rsidR="00392F3A" w:rsidRPr="00E657CC" w:rsidRDefault="00392F3A" w:rsidP="00302253">
            <w:r w:rsidRPr="00E657CC">
              <w:rPr>
                <w:bCs/>
              </w:rPr>
              <w:t>8.0220(</w:t>
            </w:r>
            <w:r w:rsidR="00302253">
              <w:rPr>
                <w:bCs/>
              </w:rPr>
              <w:t>I</w:t>
            </w:r>
            <w:r w:rsidRPr="00E657CC">
              <w:rPr>
                <w:bCs/>
              </w:rPr>
              <w:t>) – Type I Replacement</w:t>
            </w:r>
            <w:r w:rsidR="00302253">
              <w:rPr>
                <w:bCs/>
              </w:rPr>
              <w:t xml:space="preserve"> if Essentially Identical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EA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EB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92F3A" w:rsidRPr="00E657CC" w14:paraId="5BE447F0" w14:textId="77777777" w:rsidTr="00A602DD">
        <w:trPr>
          <w:trHeight w:val="5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ED" w14:textId="77777777" w:rsidR="00392F3A" w:rsidRPr="00E657CC" w:rsidRDefault="00392F3A" w:rsidP="00302253">
            <w:r w:rsidRPr="00E657CC">
              <w:rPr>
                <w:bCs/>
              </w:rPr>
              <w:t>8.0220(</w:t>
            </w:r>
            <w:r w:rsidR="00302253">
              <w:rPr>
                <w:bCs/>
              </w:rPr>
              <w:t>J</w:t>
            </w:r>
            <w:r w:rsidRPr="00E657CC">
              <w:rPr>
                <w:bCs/>
              </w:rPr>
              <w:t>) – Type II Replacement</w:t>
            </w:r>
            <w:r w:rsidR="00302253">
              <w:rPr>
                <w:bCs/>
              </w:rPr>
              <w:t xml:space="preserve"> if Substantially Similar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EE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EF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92F3A" w:rsidRPr="00E657CC" w14:paraId="5BE447F4" w14:textId="77777777" w:rsidTr="00A602D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F1" w14:textId="77777777" w:rsidR="00392F3A" w:rsidRPr="00E657CC" w:rsidRDefault="00302253" w:rsidP="00392F3A">
            <w:r>
              <w:rPr>
                <w:bCs/>
              </w:rPr>
              <w:lastRenderedPageBreak/>
              <w:t>8.0220(K</w:t>
            </w:r>
            <w:r w:rsidR="00392F3A" w:rsidRPr="00E657CC">
              <w:rPr>
                <w:bCs/>
              </w:rPr>
              <w:t xml:space="preserve">) – </w:t>
            </w:r>
            <w:r w:rsidR="002A1E45">
              <w:rPr>
                <w:bCs/>
              </w:rPr>
              <w:t xml:space="preserve">Full </w:t>
            </w:r>
            <w:r w:rsidR="00392F3A" w:rsidRPr="00E657CC">
              <w:rPr>
                <w:bCs/>
              </w:rPr>
              <w:t>Conformance When Design Review is Required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F2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F3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</w:tbl>
    <w:p w14:paraId="5BE447F5" w14:textId="77777777" w:rsidR="00E657CC" w:rsidRPr="00E657CC" w:rsidRDefault="00E657CC" w:rsidP="00E657CC"/>
    <w:p w14:paraId="5BE447F6" w14:textId="77777777" w:rsidR="00E657CC" w:rsidRPr="00E657CC" w:rsidRDefault="00E657CC" w:rsidP="004D5719">
      <w:pPr>
        <w:pStyle w:val="Heading1"/>
      </w:pPr>
      <w:r w:rsidRPr="00E657CC">
        <w:t xml:space="preserve">8.0221 – </w:t>
      </w:r>
      <w:r w:rsidR="00C64E44">
        <w:t xml:space="preserve">Alteration, </w:t>
      </w:r>
      <w:r w:rsidRPr="00E657CC">
        <w:t>Enlargement</w:t>
      </w:r>
      <w:r w:rsidR="00C64E44">
        <w:t xml:space="preserve">, Expansion, Movement or Replacement </w:t>
      </w:r>
      <w:r w:rsidRPr="00E657CC">
        <w:t>of Nonconforming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657CC" w:rsidRPr="00E657CC" w14:paraId="5BE447FA" w14:textId="77777777" w:rsidTr="00322BB4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F7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F8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F9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Findings</w:t>
            </w:r>
          </w:p>
        </w:tc>
      </w:tr>
      <w:tr w:rsidR="00E657CC" w:rsidRPr="00E657CC" w14:paraId="5BE447FE" w14:textId="77777777" w:rsidTr="00322BB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FB" w14:textId="77777777" w:rsidR="00E657CC" w:rsidRPr="00E657CC" w:rsidRDefault="00E657CC" w:rsidP="00E657CC">
            <w:r w:rsidRPr="00E657CC">
              <w:t>8.0211(A) – Maintaining Existing Setbacks</w:t>
            </w:r>
            <w:r w:rsidR="003D17A0">
              <w:t xml:space="preserve"> When Enlarging or Moving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FC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FD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02" w14:textId="77777777" w:rsidTr="00322BB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FF" w14:textId="77777777" w:rsidR="00E657CC" w:rsidRPr="00E657CC" w:rsidRDefault="00E657CC" w:rsidP="00E657CC">
            <w:r w:rsidRPr="00E657CC">
              <w:t>8.0221(B) – Conforming with Height Restrictions</w:t>
            </w:r>
            <w:r w:rsidR="00143B10">
              <w:t xml:space="preserve"> &amp; Lot Coverage Standards When Relocating or Enlarging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00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01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22BB4" w:rsidRPr="00E657CC" w14:paraId="5BE44806" w14:textId="77777777" w:rsidTr="00322BB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03" w14:textId="77777777" w:rsidR="00322BB4" w:rsidRPr="00E657CC" w:rsidRDefault="00322BB4" w:rsidP="00322BB4">
            <w:r>
              <w:t>8.0221(C) – Increasing Compliance with FARs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04" w14:textId="77777777" w:rsidR="00322BB4" w:rsidRPr="00E657CC" w:rsidRDefault="00322BB4" w:rsidP="00322BB4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05" w14:textId="77777777" w:rsidR="00322BB4" w:rsidRPr="00E657CC" w:rsidRDefault="00322BB4" w:rsidP="00322BB4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22BB4" w:rsidRPr="00E657CC" w14:paraId="5BE4480A" w14:textId="77777777" w:rsidTr="00322BB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07" w14:textId="77777777" w:rsidR="00322BB4" w:rsidRPr="00E657CC" w:rsidRDefault="00322BB4" w:rsidP="00322BB4">
            <w:r w:rsidRPr="00E657CC">
              <w:rPr>
                <w:bCs/>
              </w:rPr>
              <w:t>8.0221(</w:t>
            </w:r>
            <w:r>
              <w:rPr>
                <w:bCs/>
              </w:rPr>
              <w:t>D</w:t>
            </w:r>
            <w:r w:rsidRPr="00E657CC">
              <w:rPr>
                <w:bCs/>
              </w:rPr>
              <w:t>) – Lot Size, Frontage and Dimensional Nonconformity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08" w14:textId="77777777" w:rsidR="00322BB4" w:rsidRPr="00E657CC" w:rsidRDefault="00322BB4" w:rsidP="00322BB4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09" w14:textId="77777777" w:rsidR="00322BB4" w:rsidRPr="00E657CC" w:rsidRDefault="00322BB4" w:rsidP="00322BB4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</w:tbl>
    <w:p w14:paraId="5BE4480B" w14:textId="77777777" w:rsidR="00E657CC" w:rsidRPr="00E657CC" w:rsidRDefault="00E657CC" w:rsidP="00E657CC"/>
    <w:p w14:paraId="5BE4480C" w14:textId="77777777" w:rsidR="00E657CC" w:rsidRPr="00E657CC" w:rsidRDefault="00E657CC" w:rsidP="004D5719">
      <w:pPr>
        <w:pStyle w:val="Heading1"/>
      </w:pPr>
      <w:r w:rsidRPr="00E657CC">
        <w:t xml:space="preserve">8.0222 – </w:t>
      </w:r>
      <w:r w:rsidR="00C64E44">
        <w:t xml:space="preserve">Alteration, </w:t>
      </w:r>
      <w:r w:rsidR="00C64E44" w:rsidRPr="00E657CC">
        <w:t>Enlargement</w:t>
      </w:r>
      <w:r w:rsidR="00C64E44">
        <w:t xml:space="preserve">, Expansion, Movement or Replacement </w:t>
      </w:r>
      <w:r w:rsidR="00C64E44" w:rsidRPr="00E657CC">
        <w:t xml:space="preserve">of Nonconforming </w:t>
      </w:r>
      <w:r w:rsidRPr="00E657CC">
        <w:t>Use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657CC" w:rsidRPr="00E657CC" w14:paraId="5BE44810" w14:textId="77777777" w:rsidTr="00607F14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0D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0E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0F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Findings</w:t>
            </w:r>
          </w:p>
        </w:tc>
      </w:tr>
      <w:tr w:rsidR="00E657CC" w:rsidRPr="00E657CC" w14:paraId="5BE44814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11" w14:textId="77777777" w:rsidR="00E657CC" w:rsidRPr="00E657CC" w:rsidRDefault="00E657CC" w:rsidP="00E657CC">
            <w:r w:rsidRPr="00E657CC">
              <w:rPr>
                <w:bCs/>
              </w:rPr>
              <w:t>8.0222 (A) – When Moving is Allowed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12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13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18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15" w14:textId="77777777" w:rsidR="00E657CC" w:rsidRPr="00E657CC" w:rsidRDefault="00E657CC" w:rsidP="00E657CC">
            <w:r w:rsidRPr="00E657CC">
              <w:t>8.0222(B) – Enlargement: How Much and Where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16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17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1C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19" w14:textId="77777777" w:rsidR="00E657CC" w:rsidRPr="00E657CC" w:rsidRDefault="00E657CC" w:rsidP="005F466B">
            <w:r w:rsidRPr="00E657CC">
              <w:t xml:space="preserve">8.0222(C) – </w:t>
            </w:r>
            <w:r w:rsidR="005F466B">
              <w:t>Applicability of Current</w:t>
            </w:r>
            <w:r w:rsidRPr="00E657CC">
              <w:t xml:space="preserve"> Height, Setback and Lot Coverage Standards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1A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1B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20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1D" w14:textId="77777777" w:rsidR="00E657CC" w:rsidRPr="00E657CC" w:rsidRDefault="00E657CC" w:rsidP="00E657CC">
            <w:r w:rsidRPr="00E657CC">
              <w:rPr>
                <w:bCs/>
              </w:rPr>
              <w:t>8.0222(D) – Moving Non-Building Elements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1E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1F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24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21" w14:textId="77777777" w:rsidR="00E657CC" w:rsidRPr="00E657CC" w:rsidRDefault="00E657CC" w:rsidP="00E657CC">
            <w:r w:rsidRPr="00E657CC">
              <w:rPr>
                <w:bCs/>
              </w:rPr>
              <w:t xml:space="preserve">8.0222(E) – </w:t>
            </w:r>
            <w:r w:rsidR="005F466B">
              <w:rPr>
                <w:bCs/>
              </w:rPr>
              <w:t xml:space="preserve">Freeze on </w:t>
            </w:r>
            <w:r w:rsidRPr="00E657CC">
              <w:rPr>
                <w:bCs/>
              </w:rPr>
              <w:t>Number of Structures/Dwelling Units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22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23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28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25" w14:textId="77777777" w:rsidR="00E657CC" w:rsidRPr="00E657CC" w:rsidRDefault="00E657CC" w:rsidP="00E657CC">
            <w:r w:rsidRPr="00E657CC">
              <w:rPr>
                <w:bCs/>
              </w:rPr>
              <w:t>8.0222(F) – Single-Family and Duplex Dwellings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26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27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2C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29" w14:textId="77777777" w:rsidR="00E657CC" w:rsidRPr="00E657CC" w:rsidRDefault="00E657CC" w:rsidP="00E657CC">
            <w:r w:rsidRPr="00E657CC">
              <w:rPr>
                <w:bCs/>
              </w:rPr>
              <w:t>8.0222(G) – Number of Times Enlargement or Moving Allowed</w:t>
            </w:r>
            <w:r w:rsidR="007A3931">
              <w:rPr>
                <w:bCs/>
              </w:rPr>
              <w:t xml:space="preserve"> for Institutional or Special Uses.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2A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2B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</w:tbl>
    <w:p w14:paraId="5BE4482D" w14:textId="77777777" w:rsidR="00E657CC" w:rsidRPr="00E657CC" w:rsidRDefault="00E657CC" w:rsidP="00E657CC"/>
    <w:p w14:paraId="5BE4482E" w14:textId="77777777" w:rsidR="00E657CC" w:rsidRPr="00E657CC" w:rsidRDefault="00E657CC" w:rsidP="004D5719">
      <w:pPr>
        <w:pStyle w:val="Heading1"/>
      </w:pPr>
      <w:r w:rsidRPr="00E657CC">
        <w:lastRenderedPageBreak/>
        <w:t>8.0230 – Damages to Non-Conforming Situations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657CC" w:rsidRPr="00E657CC" w14:paraId="5BE44832" w14:textId="77777777" w:rsidTr="00607F14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2F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30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31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Findings</w:t>
            </w:r>
          </w:p>
        </w:tc>
      </w:tr>
      <w:tr w:rsidR="00E657CC" w:rsidRPr="00E657CC" w14:paraId="5BE44836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33" w14:textId="77777777" w:rsidR="00E657CC" w:rsidRPr="00E657CC" w:rsidRDefault="004F289D" w:rsidP="00E657CC">
            <w:r>
              <w:rPr>
                <w:bCs/>
              </w:rPr>
              <w:t>8.0230 (A) – Casualty/Loss Replacement Provisions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34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35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3A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37" w14:textId="77777777" w:rsidR="00E657CC" w:rsidRPr="00E657CC" w:rsidRDefault="00E657CC" w:rsidP="004F289D">
            <w:r w:rsidRPr="00E657CC">
              <w:t xml:space="preserve">8.0230(B) – </w:t>
            </w:r>
            <w:r w:rsidR="004F289D">
              <w:rPr>
                <w:bCs/>
              </w:rPr>
              <w:t xml:space="preserve">Casualty/Loss Replacement Provisions </w:t>
            </w:r>
            <w:r w:rsidRPr="00E657CC">
              <w:rPr>
                <w:bCs/>
              </w:rPr>
              <w:t>(Single-Family Dwelling Units)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38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39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3E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3B" w14:textId="77777777" w:rsidR="00E657CC" w:rsidRPr="00E657CC" w:rsidRDefault="00E657CC" w:rsidP="00E657CC">
            <w:r w:rsidRPr="00E657CC">
              <w:t xml:space="preserve">8.0230(C) – </w:t>
            </w:r>
            <w:r w:rsidR="00E53242">
              <w:t xml:space="preserve">Intentional </w:t>
            </w:r>
            <w:r w:rsidRPr="00E657CC">
              <w:t>Replacement of Single-Family Dwelling Units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3C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3D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</w:tbl>
    <w:p w14:paraId="5BE4483F" w14:textId="77777777" w:rsidR="00E657CC" w:rsidRPr="00E657CC" w:rsidRDefault="00E657CC" w:rsidP="00E657CC"/>
    <w:p w14:paraId="5BE44840" w14:textId="77777777" w:rsidR="00E657CC" w:rsidRPr="00E657CC" w:rsidRDefault="00E657CC" w:rsidP="004D5719">
      <w:pPr>
        <w:pStyle w:val="Heading1"/>
      </w:pPr>
      <w:r w:rsidRPr="00E657CC">
        <w:t>8.0231 – Discontinuation or Vacation of Nonconforming Situations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657CC" w:rsidRPr="00E657CC" w14:paraId="5BE44844" w14:textId="77777777" w:rsidTr="00607F14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41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42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43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Findings</w:t>
            </w:r>
          </w:p>
        </w:tc>
      </w:tr>
      <w:tr w:rsidR="00E657CC" w:rsidRPr="00E657CC" w14:paraId="5BE44848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45" w14:textId="77777777" w:rsidR="00E657CC" w:rsidRPr="00E657CC" w:rsidRDefault="00E657CC" w:rsidP="00E53242">
            <w:r w:rsidRPr="00E657CC">
              <w:rPr>
                <w:bCs/>
              </w:rPr>
              <w:t>8.0231 – Discontinu</w:t>
            </w:r>
            <w:r w:rsidR="00E53242">
              <w:rPr>
                <w:bCs/>
              </w:rPr>
              <w:t>ation &amp; Vacation of a Non-Conforming Situation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46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47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</w:tbl>
    <w:p w14:paraId="5BE44849" w14:textId="77777777" w:rsidR="00E657CC" w:rsidRPr="00E657CC" w:rsidRDefault="00E657CC" w:rsidP="00E657CC"/>
    <w:p w14:paraId="5BE4484A" w14:textId="77777777" w:rsidR="00E657CC" w:rsidRPr="00E657CC" w:rsidRDefault="00E657CC" w:rsidP="004D5719">
      <w:pPr>
        <w:pStyle w:val="Heading1"/>
      </w:pPr>
      <w:r w:rsidRPr="00E657CC">
        <w:t>8.0240 – Nonconforming Uses in Residential Land Use Districts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657CC" w:rsidRPr="00E657CC" w14:paraId="5BE4484E" w14:textId="77777777" w:rsidTr="000D4111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4B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4C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4D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Findings</w:t>
            </w:r>
          </w:p>
        </w:tc>
      </w:tr>
      <w:tr w:rsidR="000D4111" w:rsidRPr="00E657CC" w14:paraId="5BE44850" w14:textId="77777777" w:rsidTr="000D4111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4F" w14:textId="77777777" w:rsidR="000D4111" w:rsidRPr="000D4111" w:rsidRDefault="000D4111" w:rsidP="00E657CC">
            <w:pPr>
              <w:rPr>
                <w:b/>
              </w:rPr>
            </w:pPr>
            <w:r w:rsidRPr="000D4111">
              <w:rPr>
                <w:b/>
                <w:bCs/>
              </w:rPr>
              <w:t>8.0240 – Commercial and Industrial Uses in Residential Land Use Districts</w:t>
            </w:r>
          </w:p>
        </w:tc>
      </w:tr>
      <w:tr w:rsidR="00E657CC" w:rsidRPr="00E657CC" w14:paraId="5BE44854" w14:textId="77777777" w:rsidTr="000D411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51" w14:textId="77777777" w:rsidR="00E657CC" w:rsidRPr="00E657CC" w:rsidRDefault="00E657CC" w:rsidP="00E657CC">
            <w:r w:rsidRPr="00E657CC">
              <w:rPr>
                <w:bCs/>
              </w:rPr>
              <w:t xml:space="preserve">8.0240(A) – </w:t>
            </w:r>
            <w:r w:rsidR="000D4111">
              <w:rPr>
                <w:bCs/>
              </w:rPr>
              <w:t xml:space="preserve">Cap on </w:t>
            </w:r>
            <w:r w:rsidRPr="00E657CC">
              <w:rPr>
                <w:bCs/>
              </w:rPr>
              <w:t>Detrimental Effects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52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53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58" w14:textId="77777777" w:rsidTr="000D411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55" w14:textId="77777777" w:rsidR="00E657CC" w:rsidRPr="00E657CC" w:rsidRDefault="00E657CC" w:rsidP="00E657CC">
            <w:r w:rsidRPr="00E657CC">
              <w:t xml:space="preserve">8.0240(B) – </w:t>
            </w:r>
            <w:r w:rsidR="000D4111">
              <w:t xml:space="preserve">Cap on </w:t>
            </w:r>
            <w:r w:rsidRPr="00E657CC">
              <w:t>Hours of Operation and Number of Employees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56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57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5C" w14:textId="77777777" w:rsidTr="000D411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59" w14:textId="77777777" w:rsidR="00E657CC" w:rsidRPr="00E657CC" w:rsidRDefault="00E657CC" w:rsidP="00E657CC">
            <w:r w:rsidRPr="00E657CC">
              <w:t xml:space="preserve">8.0240(C) – </w:t>
            </w:r>
            <w:r w:rsidR="00502E0D">
              <w:t xml:space="preserve">Cap on </w:t>
            </w:r>
            <w:r w:rsidRPr="00E657CC">
              <w:t>Enlargement and Moving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5A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5B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60" w14:textId="77777777" w:rsidTr="000D411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5D" w14:textId="77777777" w:rsidR="00E657CC" w:rsidRPr="00E657CC" w:rsidRDefault="00E657CC" w:rsidP="00E657CC">
            <w:r w:rsidRPr="00E657CC">
              <w:rPr>
                <w:bCs/>
              </w:rPr>
              <w:t>8.0240(D) – Buffering and Screening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5E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5F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64" w14:textId="77777777" w:rsidTr="000D411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61" w14:textId="77777777" w:rsidR="00E657CC" w:rsidRPr="00E657CC" w:rsidRDefault="00E657CC" w:rsidP="00502E0D">
            <w:r w:rsidRPr="00E657CC">
              <w:rPr>
                <w:bCs/>
              </w:rPr>
              <w:t xml:space="preserve">8.0240(E) – </w:t>
            </w:r>
            <w:r w:rsidR="00502E0D">
              <w:rPr>
                <w:bCs/>
              </w:rPr>
              <w:t>Casualty/Loss Provisions Requiring</w:t>
            </w:r>
            <w:r w:rsidRPr="00E657CC">
              <w:rPr>
                <w:bCs/>
              </w:rPr>
              <w:t xml:space="preserve"> Termination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62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63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</w:tbl>
    <w:p w14:paraId="5BE44865" w14:textId="77777777" w:rsidR="00E657CC" w:rsidRDefault="00E657CC" w:rsidP="00E657CC"/>
    <w:p w14:paraId="5BE44866" w14:textId="77777777" w:rsidR="00D8482F" w:rsidRPr="00E657CC" w:rsidRDefault="00D8482F" w:rsidP="00D8482F">
      <w:pPr>
        <w:pStyle w:val="Heading1"/>
      </w:pPr>
      <w:r>
        <w:t>8.</w:t>
      </w:r>
      <w:r w:rsidRPr="00E657CC">
        <w:t>025</w:t>
      </w:r>
      <w:r>
        <w:t>0</w:t>
      </w:r>
      <w:r w:rsidRPr="00E657CC">
        <w:t xml:space="preserve"> – </w:t>
      </w:r>
      <w:r>
        <w:t>Establishing Nonconforming Situations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D8482F" w:rsidRPr="00E657CC" w14:paraId="5BE4486A" w14:textId="77777777" w:rsidTr="00D8482F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67" w14:textId="77777777" w:rsidR="00D8482F" w:rsidRPr="00E657CC" w:rsidRDefault="00D8482F" w:rsidP="00607F14">
            <w:pPr>
              <w:rPr>
                <w:b/>
              </w:rPr>
            </w:pPr>
            <w:r w:rsidRPr="00E657CC">
              <w:rPr>
                <w:b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68" w14:textId="77777777" w:rsidR="00D8482F" w:rsidRPr="00E657CC" w:rsidRDefault="00D8482F" w:rsidP="00607F14">
            <w:pPr>
              <w:rPr>
                <w:b/>
              </w:rPr>
            </w:pPr>
            <w:r w:rsidRPr="00E657CC">
              <w:rPr>
                <w:b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69" w14:textId="77777777" w:rsidR="00D8482F" w:rsidRPr="00E657CC" w:rsidRDefault="00D8482F" w:rsidP="00607F14">
            <w:pPr>
              <w:rPr>
                <w:b/>
              </w:rPr>
            </w:pPr>
            <w:r w:rsidRPr="00E657CC">
              <w:rPr>
                <w:b/>
              </w:rPr>
              <w:t>Findings</w:t>
            </w:r>
          </w:p>
        </w:tc>
      </w:tr>
      <w:tr w:rsidR="00D8482F" w:rsidRPr="00E657CC" w14:paraId="5BE4486E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6B" w14:textId="77777777" w:rsidR="00D8482F" w:rsidRPr="00E657CC" w:rsidRDefault="00D8482F" w:rsidP="00D8482F">
            <w:r w:rsidRPr="00E657CC">
              <w:rPr>
                <w:bCs/>
              </w:rPr>
              <w:t>8.025</w:t>
            </w:r>
            <w:r>
              <w:rPr>
                <w:bCs/>
              </w:rPr>
              <w:t>0</w:t>
            </w:r>
            <w:r w:rsidRPr="00E657CC">
              <w:rPr>
                <w:bCs/>
              </w:rPr>
              <w:t xml:space="preserve">(A) – </w:t>
            </w:r>
            <w:r>
              <w:rPr>
                <w:bCs/>
              </w:rPr>
              <w:t>Legal Establishment Documentation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6C" w14:textId="77777777" w:rsidR="00D8482F" w:rsidRPr="00E657CC" w:rsidRDefault="00D8482F" w:rsidP="00607F14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6D" w14:textId="77777777" w:rsidR="00D8482F" w:rsidRPr="00E657CC" w:rsidRDefault="00D8482F" w:rsidP="00607F14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D8482F" w:rsidRPr="00E657CC" w14:paraId="5BE44872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6F" w14:textId="77777777" w:rsidR="00D8482F" w:rsidRPr="00E657CC" w:rsidRDefault="00D8482F" w:rsidP="00D8482F">
            <w:r w:rsidRPr="00E657CC">
              <w:rPr>
                <w:bCs/>
              </w:rPr>
              <w:t>8.025</w:t>
            </w:r>
            <w:r>
              <w:rPr>
                <w:bCs/>
              </w:rPr>
              <w:t>0</w:t>
            </w:r>
            <w:r w:rsidRPr="00E657CC">
              <w:rPr>
                <w:bCs/>
              </w:rPr>
              <w:t>(</w:t>
            </w:r>
            <w:r>
              <w:rPr>
                <w:bCs/>
              </w:rPr>
              <w:t>B</w:t>
            </w:r>
            <w:r w:rsidRPr="00E657CC">
              <w:rPr>
                <w:bCs/>
              </w:rPr>
              <w:t>)</w:t>
            </w:r>
            <w:r w:rsidRPr="00E657CC">
              <w:t xml:space="preserve"> – </w:t>
            </w:r>
            <w:r>
              <w:t>Continuation Over Time Documentation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70" w14:textId="77777777" w:rsidR="00D8482F" w:rsidRPr="00E657CC" w:rsidRDefault="00D8482F" w:rsidP="00607F14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71" w14:textId="77777777" w:rsidR="00D8482F" w:rsidRPr="00E657CC" w:rsidRDefault="00D8482F" w:rsidP="00607F14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</w:tbl>
    <w:p w14:paraId="5BE44873" w14:textId="77777777" w:rsidR="00D8482F" w:rsidRPr="00E657CC" w:rsidRDefault="00D8482F" w:rsidP="00E657CC"/>
    <w:p w14:paraId="5BE44874" w14:textId="77777777" w:rsidR="00E657CC" w:rsidRPr="00E657CC" w:rsidRDefault="00E657CC" w:rsidP="004D5719">
      <w:pPr>
        <w:pStyle w:val="Heading1"/>
      </w:pPr>
      <w:r w:rsidRPr="00E657CC">
        <w:lastRenderedPageBreak/>
        <w:t>8.0251 – Nonconforming Procedures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657CC" w:rsidRPr="00E657CC" w14:paraId="5BE44878" w14:textId="77777777" w:rsidTr="00D8482F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75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76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77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Findings</w:t>
            </w:r>
          </w:p>
        </w:tc>
      </w:tr>
      <w:tr w:rsidR="00D8482F" w:rsidRPr="00E657CC" w14:paraId="5BE4487A" w14:textId="77777777" w:rsidTr="00D8482F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79" w14:textId="77777777" w:rsidR="00D8482F" w:rsidRPr="00D8482F" w:rsidRDefault="00D8482F" w:rsidP="00E657CC">
            <w:pPr>
              <w:rPr>
                <w:b/>
              </w:rPr>
            </w:pPr>
            <w:r w:rsidRPr="00D8482F">
              <w:rPr>
                <w:b/>
                <w:bCs/>
              </w:rPr>
              <w:t>8.0251(A) – Repair and Reconstruction</w:t>
            </w:r>
          </w:p>
        </w:tc>
      </w:tr>
      <w:tr w:rsidR="00E657CC" w:rsidRPr="00E657CC" w14:paraId="5BE4487E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7B" w14:textId="77777777" w:rsidR="00E657CC" w:rsidRPr="00E657CC" w:rsidRDefault="00E657CC" w:rsidP="00E657CC">
            <w:r w:rsidRPr="00E657CC">
              <w:rPr>
                <w:bCs/>
              </w:rPr>
              <w:t>8.0251(A)</w:t>
            </w:r>
            <w:r w:rsidRPr="00E657CC">
              <w:t>(1) – Percentage Destruction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7C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7D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82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7F" w14:textId="77777777" w:rsidR="00E657CC" w:rsidRPr="00E657CC" w:rsidRDefault="00E657CC" w:rsidP="00E657CC">
            <w:r w:rsidRPr="00E657CC">
              <w:rPr>
                <w:bCs/>
              </w:rPr>
              <w:t>8.0251(A)</w:t>
            </w:r>
            <w:r w:rsidRPr="00E657CC">
              <w:t>(2) – Time Limit for Repair/Reconstruction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80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81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86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83" w14:textId="77777777" w:rsidR="00E657CC" w:rsidRPr="00E657CC" w:rsidRDefault="00E657CC" w:rsidP="00E657CC">
            <w:r w:rsidRPr="00E657CC">
              <w:rPr>
                <w:bCs/>
              </w:rPr>
              <w:t>8.0251(A)</w:t>
            </w:r>
            <w:r w:rsidRPr="00E657CC">
              <w:t>(2)</w:t>
            </w:r>
            <w:r w:rsidRPr="00E657CC">
              <w:rPr>
                <w:bCs/>
              </w:rPr>
              <w:t xml:space="preserve">(a) – </w:t>
            </w:r>
            <w:r w:rsidR="00D8482F">
              <w:rPr>
                <w:bCs/>
              </w:rPr>
              <w:t xml:space="preserve">Cap on </w:t>
            </w:r>
            <w:r w:rsidRPr="00E657CC">
              <w:rPr>
                <w:bCs/>
              </w:rPr>
              <w:t>Degree of Nonconformance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84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85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8A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87" w14:textId="77777777" w:rsidR="00E657CC" w:rsidRPr="00E657CC" w:rsidRDefault="00E657CC" w:rsidP="00E657CC">
            <w:r w:rsidRPr="00E657CC">
              <w:rPr>
                <w:bCs/>
              </w:rPr>
              <w:t>8.0251(A)</w:t>
            </w:r>
            <w:r w:rsidRPr="00E657CC">
              <w:t>(2)</w:t>
            </w:r>
            <w:r w:rsidRPr="00E657CC">
              <w:rPr>
                <w:bCs/>
              </w:rPr>
              <w:t xml:space="preserve">(b) – </w:t>
            </w:r>
            <w:r w:rsidR="00D8482F">
              <w:rPr>
                <w:bCs/>
              </w:rPr>
              <w:t xml:space="preserve">Restrictions for </w:t>
            </w:r>
            <w:r w:rsidRPr="00E657CC">
              <w:rPr>
                <w:bCs/>
              </w:rPr>
              <w:t>Enlargement and Movement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88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89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D8482F" w:rsidRPr="00E657CC" w14:paraId="5BE4488E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8B" w14:textId="77777777" w:rsidR="00D8482F" w:rsidRPr="00E657CC" w:rsidRDefault="00D8482F" w:rsidP="00D8482F">
            <w:r w:rsidRPr="00E657CC">
              <w:rPr>
                <w:bCs/>
              </w:rPr>
              <w:t>8.0251(A)</w:t>
            </w:r>
            <w:r w:rsidRPr="00E657CC">
              <w:t>(2)</w:t>
            </w:r>
            <w:r w:rsidRPr="00E657CC">
              <w:rPr>
                <w:bCs/>
              </w:rPr>
              <w:t>(</w:t>
            </w:r>
            <w:r>
              <w:rPr>
                <w:bCs/>
              </w:rPr>
              <w:t>c</w:t>
            </w:r>
            <w:r w:rsidRPr="00E657CC">
              <w:rPr>
                <w:bCs/>
              </w:rPr>
              <w:t xml:space="preserve">) – </w:t>
            </w:r>
            <w:r>
              <w:rPr>
                <w:bCs/>
              </w:rPr>
              <w:t xml:space="preserve">Restrictions for </w:t>
            </w:r>
            <w:r w:rsidRPr="00E657CC">
              <w:rPr>
                <w:bCs/>
              </w:rPr>
              <w:t>Enlargement and Movement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8C" w14:textId="77777777" w:rsidR="00D8482F" w:rsidRPr="00E657CC" w:rsidRDefault="00D8482F" w:rsidP="00D8482F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8D" w14:textId="77777777" w:rsidR="00D8482F" w:rsidRPr="00E657CC" w:rsidRDefault="00D8482F" w:rsidP="00D8482F">
            <w:r>
              <w:t xml:space="preserve">The Manager will provide findings on whether additional conditions of approval are needed </w:t>
            </w:r>
            <w:proofErr w:type="gramStart"/>
            <w:r>
              <w:t>in order to</w:t>
            </w:r>
            <w:proofErr w:type="gramEnd"/>
            <w:r>
              <w:t xml:space="preserve"> ensure that the degree of noncompliance with the requirements of the GCDC will not be increased.</w:t>
            </w:r>
          </w:p>
        </w:tc>
      </w:tr>
      <w:tr w:rsidR="00D8482F" w:rsidRPr="00E657CC" w14:paraId="5BE44892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8F" w14:textId="77777777" w:rsidR="00D8482F" w:rsidRPr="00E657CC" w:rsidRDefault="00D8482F" w:rsidP="00D8482F">
            <w:r w:rsidRPr="00E657CC">
              <w:rPr>
                <w:bCs/>
              </w:rPr>
              <w:t xml:space="preserve">8.0251(B) – Reconstruction of </w:t>
            </w:r>
            <w:proofErr w:type="gramStart"/>
            <w:r w:rsidRPr="00E657CC">
              <w:rPr>
                <w:bCs/>
              </w:rPr>
              <w:t>Single Family</w:t>
            </w:r>
            <w:proofErr w:type="gramEnd"/>
            <w:r w:rsidRPr="00E657CC">
              <w:rPr>
                <w:bCs/>
              </w:rPr>
              <w:t xml:space="preserve"> Dwelling Units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90" w14:textId="77777777" w:rsidR="00D8482F" w:rsidRPr="00E657CC" w:rsidRDefault="00D8482F" w:rsidP="00D8482F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91" w14:textId="77777777" w:rsidR="00D8482F" w:rsidRPr="00E657CC" w:rsidRDefault="00D8482F" w:rsidP="00D8482F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D8482F" w:rsidRPr="00E657CC" w14:paraId="5BE44896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93" w14:textId="77777777" w:rsidR="00D8482F" w:rsidRPr="00E657CC" w:rsidRDefault="00D8482F" w:rsidP="00D8482F">
            <w:pPr>
              <w:rPr>
                <w:bCs/>
              </w:rPr>
            </w:pPr>
            <w:r w:rsidRPr="00E657CC">
              <w:rPr>
                <w:bCs/>
              </w:rPr>
              <w:t>8.0251(B)(1) – Hardship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94" w14:textId="77777777" w:rsidR="00D8482F" w:rsidRPr="00E657CC" w:rsidRDefault="00D8482F" w:rsidP="00D8482F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95" w14:textId="77777777" w:rsidR="00D8482F" w:rsidRPr="00E657CC" w:rsidRDefault="00D8482F" w:rsidP="00D8482F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D8482F" w:rsidRPr="00E657CC" w14:paraId="5BE4489A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97" w14:textId="77777777" w:rsidR="00D8482F" w:rsidRPr="00E657CC" w:rsidRDefault="00D8482F" w:rsidP="00D8482F">
            <w:pPr>
              <w:rPr>
                <w:bCs/>
              </w:rPr>
            </w:pPr>
            <w:r w:rsidRPr="00E657CC">
              <w:rPr>
                <w:bCs/>
              </w:rPr>
              <w:t>8.0251(B)(2) – Conflicts with Conforming uses in the 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98" w14:textId="77777777" w:rsidR="00D8482F" w:rsidRPr="00E657CC" w:rsidRDefault="00D8482F" w:rsidP="00D8482F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99" w14:textId="77777777" w:rsidR="00D8482F" w:rsidRPr="00E657CC" w:rsidRDefault="00D8482F" w:rsidP="00D8482F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D8482F" w:rsidRPr="00E657CC" w14:paraId="5BE4489E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9B" w14:textId="77777777" w:rsidR="00D8482F" w:rsidRPr="00E657CC" w:rsidRDefault="00D8482F" w:rsidP="00D8482F">
            <w:pPr>
              <w:rPr>
                <w:bCs/>
              </w:rPr>
            </w:pPr>
            <w:r w:rsidRPr="00E657CC">
              <w:rPr>
                <w:bCs/>
              </w:rPr>
              <w:t>8.0251(B)(3) – Potential Development of Adjacent Sites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9C" w14:textId="77777777" w:rsidR="00D8482F" w:rsidRPr="00E657CC" w:rsidRDefault="00D8482F" w:rsidP="00D8482F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9D" w14:textId="77777777" w:rsidR="00D8482F" w:rsidRPr="00E657CC" w:rsidRDefault="00D8482F" w:rsidP="00D8482F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</w:tbl>
    <w:p w14:paraId="5BE4489F" w14:textId="77777777" w:rsidR="00E657CC" w:rsidRPr="00E657CC" w:rsidRDefault="00E657CC" w:rsidP="00E657CC"/>
    <w:p w14:paraId="5BE448A0" w14:textId="77777777" w:rsidR="00E657CC" w:rsidRPr="00E657CC" w:rsidRDefault="00E657CC" w:rsidP="00E657CC"/>
    <w:p w14:paraId="5BE448A1" w14:textId="77777777" w:rsidR="00620BD8" w:rsidRPr="00E657CC" w:rsidRDefault="00620BD8" w:rsidP="00E657CC"/>
    <w:sectPr w:rsidR="00620BD8" w:rsidRPr="00E657CC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48A4" w14:textId="77777777" w:rsidR="0051482A" w:rsidRDefault="0051482A">
      <w:r>
        <w:separator/>
      </w:r>
    </w:p>
  </w:endnote>
  <w:endnote w:type="continuationSeparator" w:id="0">
    <w:p w14:paraId="5BE448A5" w14:textId="77777777" w:rsidR="0051482A" w:rsidRDefault="0051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48A6" w14:textId="594389CB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3357E3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3357E3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 w:rsidR="004D5719">
      <w:rPr>
        <w:rStyle w:val="PageNumber"/>
        <w:sz w:val="18"/>
        <w:szCs w:val="18"/>
      </w:rPr>
      <w:t>–</w:t>
    </w:r>
    <w:r>
      <w:rPr>
        <w:rStyle w:val="PageNumber"/>
        <w:sz w:val="18"/>
        <w:szCs w:val="18"/>
      </w:rPr>
      <w:t xml:space="preserve"> </w:t>
    </w:r>
    <w:r w:rsidR="004D5719">
      <w:rPr>
        <w:sz w:val="18"/>
        <w:szCs w:val="18"/>
      </w:rPr>
      <w:t>8.0200 Existing NonConforming Uses and Development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48AB" w14:textId="7BD0839A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3357E3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3357E3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E657CC">
      <w:rPr>
        <w:rStyle w:val="PageNumber"/>
        <w:sz w:val="18"/>
        <w:szCs w:val="18"/>
      </w:rPr>
      <w:t>8</w:t>
    </w:r>
    <w:r w:rsidR="00E657CC" w:rsidRPr="00E657CC">
      <w:rPr>
        <w:sz w:val="18"/>
        <w:szCs w:val="18"/>
      </w:rPr>
      <w:t>.0200 Existing Nonconforming Uses and Development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5BE448AC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48A2" w14:textId="77777777" w:rsidR="0051482A" w:rsidRDefault="0051482A">
      <w:r>
        <w:separator/>
      </w:r>
    </w:p>
  </w:footnote>
  <w:footnote w:type="continuationSeparator" w:id="0">
    <w:p w14:paraId="5BE448A3" w14:textId="77777777" w:rsidR="0051482A" w:rsidRDefault="0051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48A7" w14:textId="77777777" w:rsidR="00E657CC" w:rsidRPr="00E657CC" w:rsidRDefault="00FD1E63" w:rsidP="00E657CC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noProof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5BE448AD" wp14:editId="5BE448AE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54A51F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BE448AF" wp14:editId="5BE448B0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448B1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5BE448B2" wp14:editId="5BE448B3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448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5BE448B1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5BE448B2" wp14:editId="5BE448B3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57CC">
      <w:rPr>
        <w:b/>
        <w:noProof/>
        <w:sz w:val="28"/>
        <w:szCs w:val="28"/>
      </w:rPr>
      <w:t>8</w:t>
    </w:r>
    <w:r w:rsidR="00E657CC" w:rsidRPr="00E657CC">
      <w:rPr>
        <w:b/>
        <w:noProof/>
        <w:sz w:val="28"/>
        <w:szCs w:val="28"/>
      </w:rPr>
      <w:t>.0200 Existing Nonconforming Uses and Development</w:t>
    </w:r>
  </w:p>
  <w:p w14:paraId="5BE448A8" w14:textId="77777777" w:rsidR="00EC0242" w:rsidRPr="009C2838" w:rsidRDefault="00EC0242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 w:rsidRPr="009C2838">
      <w:rPr>
        <w:b/>
        <w:noProof/>
        <w:sz w:val="28"/>
        <w:szCs w:val="28"/>
      </w:rPr>
      <w:t xml:space="preserve"> </w:t>
    </w:r>
  </w:p>
  <w:p w14:paraId="5BE448A9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5BE448AA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2/vRdjk29zIOuk95Nyq2d2VDKnU9U3NSaf4G6CcvOkXU5shrSmeiFNbBdopUT/LN7x94p3YDe6tAE72clxf4A==" w:salt="yhJpvYgbWno4sUE20OqSQ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82A"/>
    <w:rsid w:val="0002056D"/>
    <w:rsid w:val="0004157D"/>
    <w:rsid w:val="0006575A"/>
    <w:rsid w:val="00096D08"/>
    <w:rsid w:val="000D4111"/>
    <w:rsid w:val="000E31EA"/>
    <w:rsid w:val="00143B10"/>
    <w:rsid w:val="00145F13"/>
    <w:rsid w:val="001D789B"/>
    <w:rsid w:val="002A1E45"/>
    <w:rsid w:val="002A3F59"/>
    <w:rsid w:val="002C2BB7"/>
    <w:rsid w:val="00302253"/>
    <w:rsid w:val="00322BB4"/>
    <w:rsid w:val="003357E3"/>
    <w:rsid w:val="00392F3A"/>
    <w:rsid w:val="003A2334"/>
    <w:rsid w:val="003B1525"/>
    <w:rsid w:val="003D17A0"/>
    <w:rsid w:val="00400A10"/>
    <w:rsid w:val="00432EA6"/>
    <w:rsid w:val="00471EDC"/>
    <w:rsid w:val="004A3D5D"/>
    <w:rsid w:val="004D5719"/>
    <w:rsid w:val="004F289D"/>
    <w:rsid w:val="00502E0D"/>
    <w:rsid w:val="0051482A"/>
    <w:rsid w:val="00521967"/>
    <w:rsid w:val="00595DDA"/>
    <w:rsid w:val="005D7342"/>
    <w:rsid w:val="005E4A7C"/>
    <w:rsid w:val="005E51D3"/>
    <w:rsid w:val="005F466B"/>
    <w:rsid w:val="00620BD8"/>
    <w:rsid w:val="00655529"/>
    <w:rsid w:val="0066678C"/>
    <w:rsid w:val="0069637D"/>
    <w:rsid w:val="006C5E55"/>
    <w:rsid w:val="00724796"/>
    <w:rsid w:val="0072550E"/>
    <w:rsid w:val="00726AD6"/>
    <w:rsid w:val="0075672D"/>
    <w:rsid w:val="00777889"/>
    <w:rsid w:val="007A3931"/>
    <w:rsid w:val="007C155E"/>
    <w:rsid w:val="007D172D"/>
    <w:rsid w:val="007F605B"/>
    <w:rsid w:val="00800166"/>
    <w:rsid w:val="008138C1"/>
    <w:rsid w:val="00834CD1"/>
    <w:rsid w:val="00882D8C"/>
    <w:rsid w:val="00892D15"/>
    <w:rsid w:val="008C3661"/>
    <w:rsid w:val="008D59F3"/>
    <w:rsid w:val="008D6B6C"/>
    <w:rsid w:val="008D6F03"/>
    <w:rsid w:val="008F3035"/>
    <w:rsid w:val="0096299A"/>
    <w:rsid w:val="00976EC0"/>
    <w:rsid w:val="009C2838"/>
    <w:rsid w:val="009D764A"/>
    <w:rsid w:val="00A602DD"/>
    <w:rsid w:val="00A77F24"/>
    <w:rsid w:val="00AB0BC1"/>
    <w:rsid w:val="00AC708D"/>
    <w:rsid w:val="00AE51F3"/>
    <w:rsid w:val="00AF58D1"/>
    <w:rsid w:val="00B64F10"/>
    <w:rsid w:val="00BA6409"/>
    <w:rsid w:val="00BC5AD6"/>
    <w:rsid w:val="00BE0049"/>
    <w:rsid w:val="00C02BDD"/>
    <w:rsid w:val="00C05290"/>
    <w:rsid w:val="00C64E44"/>
    <w:rsid w:val="00CC5C68"/>
    <w:rsid w:val="00CC7A3C"/>
    <w:rsid w:val="00CE0C4B"/>
    <w:rsid w:val="00D06FF8"/>
    <w:rsid w:val="00D207F2"/>
    <w:rsid w:val="00D2190D"/>
    <w:rsid w:val="00D661B0"/>
    <w:rsid w:val="00D8482F"/>
    <w:rsid w:val="00D9356D"/>
    <w:rsid w:val="00DA38D0"/>
    <w:rsid w:val="00DC4377"/>
    <w:rsid w:val="00E04A85"/>
    <w:rsid w:val="00E53242"/>
    <w:rsid w:val="00E657CC"/>
    <w:rsid w:val="00EC0242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E447AF"/>
  <w15:chartTrackingRefBased/>
  <w15:docId w15:val="{1F3179D1-95E3-4698-B4D4-E2A32269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402473-9CE2-468C-AD61-F2242772C2FE}"/>
</file>

<file path=customXml/itemProps2.xml><?xml version="1.0" encoding="utf-8"?>
<ds:datastoreItem xmlns:ds="http://schemas.openxmlformats.org/officeDocument/2006/customXml" ds:itemID="{675EAF50-00B7-4260-824A-5D72587FF539}"/>
</file>

<file path=customXml/itemProps3.xml><?xml version="1.0" encoding="utf-8"?>
<ds:datastoreItem xmlns:ds="http://schemas.openxmlformats.org/officeDocument/2006/customXml" ds:itemID="{7FE5E632-E072-4535-9AB0-F1D1B23075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4611</Characters>
  <Application>Microsoft Office Word</Application>
  <DocSecurity>0</DocSecurity>
  <Lines>288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2023-02-22T21:27:00Z</dcterms:created>
  <dcterms:modified xsi:type="dcterms:W3CDTF">2023-02-22T21:27:00Z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